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CE7E" w14:textId="4DA22CD7" w:rsidR="00000000" w:rsidRDefault="00E85215">
      <w:pPr>
        <w:pStyle w:val="Titl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0" allowOverlap="1" wp14:anchorId="2374D5A3" wp14:editId="785AC771">
            <wp:simplePos x="0" y="0"/>
            <wp:positionH relativeFrom="column">
              <wp:posOffset>563880</wp:posOffset>
            </wp:positionH>
            <wp:positionV relativeFrom="paragraph">
              <wp:posOffset>-457200</wp:posOffset>
            </wp:positionV>
            <wp:extent cx="5105400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B7152" w14:textId="77777777" w:rsidR="00000000" w:rsidRDefault="0011255F">
      <w:pPr>
        <w:pStyle w:val="Heading4"/>
      </w:pPr>
    </w:p>
    <w:p w14:paraId="64571D72" w14:textId="77777777" w:rsidR="00000000" w:rsidRDefault="0011255F"/>
    <w:p w14:paraId="7D118344" w14:textId="77777777" w:rsidR="00000000" w:rsidRDefault="0011255F">
      <w:pPr>
        <w:pStyle w:val="Heading4"/>
      </w:pPr>
      <w:r>
        <w:t>Election of Payment Option for Salaried Employees</w:t>
      </w:r>
    </w:p>
    <w:p w14:paraId="23E5B447" w14:textId="77777777" w:rsidR="00000000" w:rsidRDefault="0011255F">
      <w:pPr>
        <w:jc w:val="center"/>
      </w:pPr>
      <w:r>
        <w:t>(Faculty and Supportive Professional Staff Only)</w:t>
      </w:r>
    </w:p>
    <w:p w14:paraId="3E41C2E9" w14:textId="77777777" w:rsidR="00000000" w:rsidRDefault="0011255F">
      <w:pPr>
        <w:rPr>
          <w:b/>
          <w:sz w:val="28"/>
        </w:rPr>
      </w:pPr>
    </w:p>
    <w:p w14:paraId="7BDF4A8B" w14:textId="77777777" w:rsidR="00000000" w:rsidRDefault="0011255F">
      <w:pPr>
        <w:pStyle w:val="BodyText"/>
        <w:rPr>
          <w:sz w:val="22"/>
        </w:rPr>
      </w:pPr>
      <w:r>
        <w:rPr>
          <w:sz w:val="22"/>
        </w:rPr>
        <w:t xml:space="preserve">Faculty and Supportive Professional Staff employees who have appointments for less than twelve months are automatically paid their annual salary amount </w:t>
      </w:r>
      <w:r>
        <w:rPr>
          <w:sz w:val="22"/>
        </w:rPr>
        <w:t xml:space="preserve">over the term of the contract.  For example, a 9-month employee will be paid their contract salary amount in eighteen (18) equal semi-monthly installments beginning with the payroll period coinciding with the appointment start date.  </w:t>
      </w:r>
    </w:p>
    <w:p w14:paraId="403BB7E6" w14:textId="77777777" w:rsidR="00000000" w:rsidRDefault="0011255F">
      <w:pPr>
        <w:pStyle w:val="BodyText"/>
        <w:rPr>
          <w:sz w:val="22"/>
        </w:rPr>
      </w:pPr>
    </w:p>
    <w:p w14:paraId="4E0AC0B4" w14:textId="77777777" w:rsidR="00000000" w:rsidRDefault="0011255F">
      <w:pPr>
        <w:pStyle w:val="BodyText"/>
        <w:rPr>
          <w:sz w:val="22"/>
        </w:rPr>
      </w:pPr>
      <w:r>
        <w:rPr>
          <w:sz w:val="22"/>
        </w:rPr>
        <w:t>However, Faculty and</w:t>
      </w:r>
      <w:r>
        <w:rPr>
          <w:sz w:val="22"/>
        </w:rPr>
        <w:t xml:space="preserve"> Supportive Professional Staff employees who have appointments for less than twelve months may alternatively exercise an option to receive payment of their annual salary amount over a twelve (12) month period.  Because this method of payment is available o</w:t>
      </w:r>
      <w:r>
        <w:rPr>
          <w:sz w:val="22"/>
        </w:rPr>
        <w:t>n an optional basis only, it is necessary to receive written authorization to distribute the annual salary over a twelve (12) month payroll cycle or otherwise change your current payroll option.  Upon authorization, twenty-four equal semi-monthly payments,</w:t>
      </w:r>
      <w:r>
        <w:rPr>
          <w:sz w:val="22"/>
        </w:rPr>
        <w:t xml:space="preserve"> beginning with the payroll period coinciding with the appointment start date, will be provided to employees electing this option.  </w:t>
      </w:r>
    </w:p>
    <w:p w14:paraId="0D8FA48B" w14:textId="77777777" w:rsidR="00000000" w:rsidRDefault="0011255F">
      <w:pPr>
        <w:pStyle w:val="BodyText"/>
        <w:rPr>
          <w:sz w:val="22"/>
        </w:rPr>
      </w:pPr>
    </w:p>
    <w:p w14:paraId="5AA8123B" w14:textId="77777777" w:rsidR="00000000" w:rsidRDefault="0011255F">
      <w:pPr>
        <w:pStyle w:val="BodyText"/>
        <w:rPr>
          <w:sz w:val="22"/>
        </w:rPr>
      </w:pPr>
      <w:r>
        <w:rPr>
          <w:b/>
          <w:sz w:val="22"/>
        </w:rPr>
        <w:t>The selected payment option will remain in full force until such time that a new Authorization Form is submitted and a dif</w:t>
      </w:r>
      <w:r>
        <w:rPr>
          <w:b/>
          <w:sz w:val="22"/>
        </w:rPr>
        <w:t>ferent payment cycle is selected.  The Payment Authorization Form must be completed and submitted prior to August 1 to elect this option or otherwise change the current payroll option.</w:t>
      </w:r>
      <w:r>
        <w:rPr>
          <w:sz w:val="22"/>
        </w:rPr>
        <w:t xml:space="preserve"> </w:t>
      </w:r>
    </w:p>
    <w:p w14:paraId="7CD041F0" w14:textId="77777777" w:rsidR="00000000" w:rsidRDefault="0011255F">
      <w:pPr>
        <w:pStyle w:val="BodyText"/>
        <w:rPr>
          <w:b/>
          <w:sz w:val="22"/>
        </w:rPr>
      </w:pPr>
    </w:p>
    <w:p w14:paraId="5C7E9297" w14:textId="77777777" w:rsidR="00000000" w:rsidRDefault="0011255F">
      <w:pPr>
        <w:jc w:val="both"/>
        <w:rPr>
          <w:sz w:val="22"/>
        </w:rPr>
      </w:pPr>
      <w:r>
        <w:rPr>
          <w:sz w:val="22"/>
        </w:rPr>
        <w:t>Following are some additional implications when electing the twelve-m</w:t>
      </w:r>
      <w:r>
        <w:rPr>
          <w:sz w:val="22"/>
        </w:rPr>
        <w:t>onth payroll option:</w:t>
      </w:r>
    </w:p>
    <w:p w14:paraId="7ECA952D" w14:textId="77777777" w:rsidR="00000000" w:rsidRDefault="0011255F">
      <w:pPr>
        <w:jc w:val="both"/>
        <w:rPr>
          <w:sz w:val="22"/>
        </w:rPr>
      </w:pPr>
    </w:p>
    <w:p w14:paraId="3CC9D5E2" w14:textId="77777777" w:rsidR="00000000" w:rsidRDefault="0011255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If an employee on the twelve-month payment option separates from the University, the remaining deferred salary will be paid in one lump sum on the last regular paycheck.</w:t>
      </w:r>
    </w:p>
    <w:p w14:paraId="261F26BB" w14:textId="77777777" w:rsidR="00000000" w:rsidRDefault="0011255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If an employee on the twelve-month payment option receives a cha</w:t>
      </w:r>
      <w:r>
        <w:rPr>
          <w:sz w:val="22"/>
        </w:rPr>
        <w:t>nge in contract length of greater than nine months, the remaining deferred salary will be paid in one lump sum on the paycheck following notification of the contract change.</w:t>
      </w:r>
    </w:p>
    <w:p w14:paraId="141D8F6E" w14:textId="77777777" w:rsidR="00000000" w:rsidRDefault="0011255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If an employee on the twelve-month payment option secures additional University em</w:t>
      </w:r>
      <w:r>
        <w:rPr>
          <w:sz w:val="22"/>
        </w:rPr>
        <w:t>ployment for the summer or other periods outside the original appointment timeframe, the payment(s) for these additional services will be provided separately and in addition to the 24 equal semi-monthly payments.</w:t>
      </w:r>
    </w:p>
    <w:p w14:paraId="4D142AFA" w14:textId="77777777" w:rsidR="00000000" w:rsidRDefault="0011255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 xml:space="preserve">If an employee on the twelve-month payment </w:t>
      </w:r>
      <w:r>
        <w:rPr>
          <w:sz w:val="22"/>
        </w:rPr>
        <w:t xml:space="preserve">option goes on an unpaid leave of absence, the employee will be moved to a nine-month pay cycle and the remaining deferred salary will be paid in one lump sum on the paycheck following notification of this status change.  Upon return to work, the employee </w:t>
      </w:r>
      <w:r>
        <w:rPr>
          <w:sz w:val="22"/>
        </w:rPr>
        <w:t xml:space="preserve">will remain on the nine-month payment cycle until the beginning of the next contract term, at which time they will once again be moved to the twelve-month pay cycle. </w:t>
      </w:r>
    </w:p>
    <w:p w14:paraId="19C1A59E" w14:textId="77777777" w:rsidR="00000000" w:rsidRDefault="0011255F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sz w:val="22"/>
        </w:rPr>
      </w:pPr>
      <w:r>
        <w:rPr>
          <w:sz w:val="22"/>
        </w:rPr>
        <w:t>Employees electing the twelve-month payment option are afforded a pre-tax deduction for s</w:t>
      </w:r>
      <w:r>
        <w:rPr>
          <w:sz w:val="22"/>
        </w:rPr>
        <w:t xml:space="preserve">ome elected benefit options across the entire twelve-month pay cycle.  Employees electing the option to be paid over the appointment term will be billed for their benefit costs during their designated non-work periods. </w:t>
      </w:r>
    </w:p>
    <w:p w14:paraId="34FB6E59" w14:textId="77777777" w:rsidR="00000000" w:rsidRDefault="0011255F">
      <w:pPr>
        <w:ind w:left="720"/>
        <w:jc w:val="both"/>
        <w:rPr>
          <w:sz w:val="22"/>
        </w:rPr>
      </w:pPr>
      <w:r>
        <w:rPr>
          <w:sz w:val="22"/>
        </w:rPr>
        <w:t xml:space="preserve"> </w:t>
      </w:r>
    </w:p>
    <w:p w14:paraId="2CC51EE8" w14:textId="77777777" w:rsidR="00000000" w:rsidRDefault="0011255F">
      <w:pPr>
        <w:ind w:left="1080"/>
        <w:jc w:val="both"/>
        <w:rPr>
          <w:b/>
          <w:sz w:val="22"/>
        </w:rPr>
      </w:pPr>
      <w:r>
        <w:rPr>
          <w:b/>
          <w:sz w:val="22"/>
        </w:rPr>
        <w:t>Return the completed Authorization</w:t>
      </w:r>
      <w:r>
        <w:rPr>
          <w:b/>
          <w:sz w:val="22"/>
        </w:rPr>
        <w:t xml:space="preserve"> Form to:</w:t>
      </w:r>
    </w:p>
    <w:p w14:paraId="213F6434" w14:textId="77777777" w:rsidR="00000000" w:rsidRDefault="0011255F">
      <w:pPr>
        <w:jc w:val="both"/>
        <w:rPr>
          <w:sz w:val="22"/>
        </w:rPr>
      </w:pPr>
    </w:p>
    <w:p w14:paraId="17F3E207" w14:textId="77777777" w:rsidR="00000000" w:rsidRDefault="0011255F">
      <w:pPr>
        <w:ind w:left="1440" w:firstLine="720"/>
        <w:jc w:val="both"/>
        <w:rPr>
          <w:sz w:val="22"/>
        </w:rPr>
      </w:pPr>
      <w:r>
        <w:rPr>
          <w:sz w:val="22"/>
        </w:rPr>
        <w:t>Contracts, Records and Reports</w:t>
      </w:r>
    </w:p>
    <w:p w14:paraId="0232F6CC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Human Resource Services Building</w:t>
      </w:r>
    </w:p>
    <w:p w14:paraId="783291D3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Northern Illinois University</w:t>
      </w:r>
    </w:p>
    <w:p w14:paraId="471141D1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1515 West Lincoln Hwy.</w:t>
      </w:r>
    </w:p>
    <w:p w14:paraId="7C16CA8F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DeKalb, IL  60115</w:t>
      </w:r>
    </w:p>
    <w:p w14:paraId="1165D5C6" w14:textId="77777777" w:rsidR="00000000" w:rsidRDefault="0011255F">
      <w:pPr>
        <w:ind w:left="720"/>
        <w:jc w:val="both"/>
        <w:rPr>
          <w:sz w:val="22"/>
        </w:rPr>
      </w:pPr>
    </w:p>
    <w:p w14:paraId="0AC6D04B" w14:textId="77777777" w:rsidR="00000000" w:rsidRDefault="0011255F">
      <w:pPr>
        <w:ind w:left="720"/>
        <w:jc w:val="both"/>
        <w:rPr>
          <w:sz w:val="22"/>
        </w:rPr>
      </w:pPr>
    </w:p>
    <w:p w14:paraId="08318C0A" w14:textId="73C89F41" w:rsidR="00000000" w:rsidRDefault="00E85215">
      <w:pPr>
        <w:ind w:left="720"/>
        <w:jc w:val="both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0" allowOverlap="1" wp14:anchorId="54348702" wp14:editId="2B40E61D">
            <wp:simplePos x="0" y="0"/>
            <wp:positionH relativeFrom="column">
              <wp:posOffset>518160</wp:posOffset>
            </wp:positionH>
            <wp:positionV relativeFrom="paragraph">
              <wp:posOffset>-365760</wp:posOffset>
            </wp:positionV>
            <wp:extent cx="5105400" cy="6762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61759" w14:textId="77777777" w:rsidR="00000000" w:rsidRDefault="0011255F">
      <w:pPr>
        <w:ind w:left="720"/>
        <w:jc w:val="both"/>
        <w:rPr>
          <w:sz w:val="22"/>
        </w:rPr>
      </w:pPr>
    </w:p>
    <w:p w14:paraId="034AA89F" w14:textId="77777777" w:rsidR="00000000" w:rsidRDefault="0011255F">
      <w:pPr>
        <w:jc w:val="both"/>
        <w:rPr>
          <w:sz w:val="22"/>
        </w:rPr>
      </w:pPr>
    </w:p>
    <w:p w14:paraId="623395D4" w14:textId="77777777" w:rsidR="00000000" w:rsidRDefault="0011255F">
      <w:pPr>
        <w:jc w:val="both"/>
        <w:rPr>
          <w:sz w:val="22"/>
        </w:rPr>
      </w:pPr>
    </w:p>
    <w:p w14:paraId="7007DD73" w14:textId="77777777" w:rsidR="00000000" w:rsidRDefault="0011255F">
      <w:pPr>
        <w:jc w:val="both"/>
        <w:rPr>
          <w:sz w:val="22"/>
        </w:rPr>
      </w:pPr>
    </w:p>
    <w:p w14:paraId="78C78A26" w14:textId="77777777" w:rsidR="00000000" w:rsidRDefault="0011255F">
      <w:pPr>
        <w:pStyle w:val="Heading4"/>
      </w:pPr>
      <w:r>
        <w:t>Election of Payment Option for Salaried Employees</w:t>
      </w:r>
    </w:p>
    <w:p w14:paraId="1A0BB9EF" w14:textId="77777777" w:rsidR="00000000" w:rsidRDefault="0011255F">
      <w:pPr>
        <w:jc w:val="center"/>
      </w:pPr>
      <w:r>
        <w:t>(Faculty and Supportive Professional Staf</w:t>
      </w:r>
      <w:r>
        <w:t>f Only)</w:t>
      </w:r>
    </w:p>
    <w:p w14:paraId="4EE8CF7A" w14:textId="77777777" w:rsidR="00000000" w:rsidRDefault="0011255F">
      <w:pPr>
        <w:pStyle w:val="Heading4"/>
      </w:pPr>
      <w:r>
        <w:t>Authorization Form</w:t>
      </w:r>
    </w:p>
    <w:p w14:paraId="546C6A5D" w14:textId="77777777" w:rsidR="00000000" w:rsidRDefault="0011255F">
      <w:pPr>
        <w:ind w:left="720"/>
        <w:jc w:val="both"/>
        <w:rPr>
          <w:sz w:val="22"/>
        </w:rPr>
      </w:pPr>
    </w:p>
    <w:p w14:paraId="5E3952F7" w14:textId="77777777" w:rsidR="00000000" w:rsidRDefault="0011255F">
      <w:pPr>
        <w:ind w:left="720"/>
        <w:jc w:val="both"/>
        <w:rPr>
          <w:sz w:val="22"/>
        </w:rPr>
      </w:pPr>
    </w:p>
    <w:p w14:paraId="5830BE1F" w14:textId="77777777" w:rsidR="00000000" w:rsidRDefault="0011255F">
      <w:pPr>
        <w:jc w:val="both"/>
        <w:rPr>
          <w:sz w:val="22"/>
        </w:rPr>
      </w:pPr>
    </w:p>
    <w:p w14:paraId="60FA96C8" w14:textId="77777777" w:rsidR="00000000" w:rsidRDefault="0011255F">
      <w:pPr>
        <w:jc w:val="both"/>
        <w:rPr>
          <w:sz w:val="22"/>
        </w:rPr>
      </w:pPr>
      <w:r>
        <w:rPr>
          <w:sz w:val="22"/>
        </w:rPr>
        <w:t>I authorize Northern Illinois University to distribute my annual salary in the following manner (</w:t>
      </w:r>
      <w:r>
        <w:rPr>
          <w:i/>
          <w:sz w:val="22"/>
        </w:rPr>
        <w:t>check one</w:t>
      </w:r>
      <w:r>
        <w:rPr>
          <w:sz w:val="22"/>
        </w:rPr>
        <w:t>).  As expressed in the University guidelines regarding these options, I understand fully the payment implications assoc</w:t>
      </w:r>
      <w:r>
        <w:rPr>
          <w:sz w:val="22"/>
        </w:rPr>
        <w:t>iated with this request.  I understand that the selected payment option will remain in full force until such time that a new Authorization Form is submitted.</w:t>
      </w:r>
    </w:p>
    <w:p w14:paraId="0877699A" w14:textId="77777777" w:rsidR="00000000" w:rsidRDefault="0011255F">
      <w:pPr>
        <w:jc w:val="both"/>
        <w:rPr>
          <w:sz w:val="22"/>
        </w:rPr>
      </w:pPr>
    </w:p>
    <w:p w14:paraId="681ADE7B" w14:textId="77777777" w:rsidR="00000000" w:rsidRDefault="0011255F">
      <w:pPr>
        <w:jc w:val="both"/>
        <w:rPr>
          <w:sz w:val="22"/>
        </w:rPr>
      </w:pPr>
    </w:p>
    <w:p w14:paraId="69D614F5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  <w:t>□</w:t>
      </w:r>
      <w:r>
        <w:rPr>
          <w:sz w:val="22"/>
        </w:rPr>
        <w:tab/>
        <w:t>Distribute my annual salary over the appointment term</w:t>
      </w:r>
    </w:p>
    <w:p w14:paraId="54EEFA02" w14:textId="77777777" w:rsidR="00000000" w:rsidRDefault="0011255F">
      <w:pPr>
        <w:jc w:val="both"/>
        <w:rPr>
          <w:sz w:val="22"/>
        </w:rPr>
      </w:pPr>
    </w:p>
    <w:p w14:paraId="6EF9F3FE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  <w:t>□</w:t>
      </w:r>
      <w:r>
        <w:rPr>
          <w:sz w:val="22"/>
        </w:rPr>
        <w:tab/>
        <w:t>Distribute my annual salary over tw</w:t>
      </w:r>
      <w:r>
        <w:rPr>
          <w:sz w:val="22"/>
        </w:rPr>
        <w:t>elve (12) months</w:t>
      </w:r>
    </w:p>
    <w:p w14:paraId="06124C3E" w14:textId="77777777" w:rsidR="00000000" w:rsidRDefault="0011255F">
      <w:pPr>
        <w:jc w:val="both"/>
        <w:rPr>
          <w:sz w:val="22"/>
        </w:rPr>
      </w:pPr>
    </w:p>
    <w:p w14:paraId="07038878" w14:textId="77777777" w:rsidR="00000000" w:rsidRDefault="0011255F">
      <w:pPr>
        <w:jc w:val="both"/>
        <w:rPr>
          <w:sz w:val="22"/>
        </w:rPr>
      </w:pPr>
    </w:p>
    <w:p w14:paraId="2D9721EF" w14:textId="77777777" w:rsidR="00000000" w:rsidRDefault="0011255F">
      <w:pPr>
        <w:jc w:val="both"/>
        <w:rPr>
          <w:sz w:val="22"/>
        </w:rPr>
      </w:pPr>
    </w:p>
    <w:p w14:paraId="19FDAC76" w14:textId="77777777" w:rsidR="00000000" w:rsidRDefault="0011255F">
      <w:pPr>
        <w:jc w:val="both"/>
        <w:rPr>
          <w:sz w:val="22"/>
        </w:rPr>
      </w:pPr>
      <w:r>
        <w:rPr>
          <w:sz w:val="22"/>
        </w:rPr>
        <w:t>Name(print) __________________________________</w:t>
      </w:r>
      <w:r>
        <w:rPr>
          <w:sz w:val="22"/>
        </w:rPr>
        <w:tab/>
        <w:t>Department ______________________</w:t>
      </w:r>
    </w:p>
    <w:p w14:paraId="33CDEE27" w14:textId="77777777" w:rsidR="00000000" w:rsidRDefault="0011255F">
      <w:pPr>
        <w:jc w:val="both"/>
        <w:rPr>
          <w:sz w:val="22"/>
        </w:rPr>
      </w:pPr>
    </w:p>
    <w:p w14:paraId="7E362C59" w14:textId="77777777" w:rsidR="00000000" w:rsidRDefault="0011255F">
      <w:pPr>
        <w:jc w:val="both"/>
        <w:rPr>
          <w:sz w:val="22"/>
        </w:rPr>
      </w:pPr>
    </w:p>
    <w:p w14:paraId="7F505EE5" w14:textId="77777777" w:rsidR="00000000" w:rsidRDefault="0011255F">
      <w:pPr>
        <w:jc w:val="both"/>
        <w:rPr>
          <w:sz w:val="22"/>
        </w:rPr>
      </w:pPr>
    </w:p>
    <w:p w14:paraId="49556E1A" w14:textId="77777777" w:rsidR="00000000" w:rsidRDefault="0011255F">
      <w:pPr>
        <w:jc w:val="both"/>
        <w:rPr>
          <w:sz w:val="22"/>
        </w:rPr>
      </w:pPr>
      <w:r>
        <w:rPr>
          <w:sz w:val="22"/>
        </w:rPr>
        <w:t xml:space="preserve">Signature ____________________________________  </w:t>
      </w:r>
      <w:r>
        <w:rPr>
          <w:sz w:val="22"/>
        </w:rPr>
        <w:tab/>
        <w:t>Date ____________________________</w:t>
      </w:r>
    </w:p>
    <w:p w14:paraId="6D6DBF79" w14:textId="77777777" w:rsidR="00000000" w:rsidRDefault="0011255F">
      <w:pPr>
        <w:rPr>
          <w:sz w:val="22"/>
        </w:rPr>
      </w:pPr>
    </w:p>
    <w:p w14:paraId="2657719B" w14:textId="77777777" w:rsidR="00000000" w:rsidRDefault="0011255F">
      <w:pPr>
        <w:rPr>
          <w:sz w:val="22"/>
        </w:rPr>
      </w:pPr>
    </w:p>
    <w:p w14:paraId="03AE0979" w14:textId="77777777" w:rsidR="00000000" w:rsidRDefault="0011255F">
      <w:pPr>
        <w:pStyle w:val="BodyText"/>
        <w:rPr>
          <w:sz w:val="22"/>
        </w:rPr>
      </w:pPr>
      <w:r>
        <w:rPr>
          <w:b/>
          <w:sz w:val="22"/>
        </w:rPr>
        <w:t>The Payment Authorization Form must be completed and submitted prio</w:t>
      </w:r>
      <w:r>
        <w:rPr>
          <w:b/>
          <w:sz w:val="22"/>
        </w:rPr>
        <w:t xml:space="preserve">r to August 1 of any calendar year to establish the selected payment option.  </w:t>
      </w:r>
    </w:p>
    <w:p w14:paraId="46AE2958" w14:textId="77777777" w:rsidR="00000000" w:rsidRDefault="0011255F">
      <w:pPr>
        <w:rPr>
          <w:sz w:val="22"/>
        </w:rPr>
      </w:pPr>
    </w:p>
    <w:p w14:paraId="2274EC43" w14:textId="77777777" w:rsidR="00000000" w:rsidRDefault="0011255F">
      <w:pPr>
        <w:rPr>
          <w:sz w:val="22"/>
        </w:rPr>
      </w:pPr>
    </w:p>
    <w:p w14:paraId="7A989144" w14:textId="77777777" w:rsidR="00000000" w:rsidRDefault="0011255F">
      <w:pPr>
        <w:rPr>
          <w:sz w:val="22"/>
        </w:rPr>
      </w:pPr>
    </w:p>
    <w:p w14:paraId="4A09D01E" w14:textId="77777777" w:rsidR="00000000" w:rsidRDefault="0011255F">
      <w:pPr>
        <w:rPr>
          <w:sz w:val="22"/>
        </w:rPr>
      </w:pPr>
    </w:p>
    <w:p w14:paraId="7581F6D2" w14:textId="77777777" w:rsidR="00000000" w:rsidRDefault="0011255F">
      <w:pPr>
        <w:rPr>
          <w:sz w:val="22"/>
        </w:rPr>
      </w:pPr>
    </w:p>
    <w:p w14:paraId="15E6D406" w14:textId="77777777" w:rsidR="00000000" w:rsidRDefault="0011255F">
      <w:pPr>
        <w:rPr>
          <w:sz w:val="22"/>
        </w:rPr>
      </w:pPr>
    </w:p>
    <w:p w14:paraId="536095DD" w14:textId="77777777" w:rsidR="00000000" w:rsidRDefault="0011255F">
      <w:pPr>
        <w:jc w:val="both"/>
        <w:rPr>
          <w:b/>
          <w:sz w:val="22"/>
        </w:rPr>
      </w:pPr>
      <w:r>
        <w:rPr>
          <w:b/>
          <w:sz w:val="22"/>
        </w:rPr>
        <w:t>Return the completed Authorization Form to:</w:t>
      </w:r>
    </w:p>
    <w:p w14:paraId="3B621527" w14:textId="77777777" w:rsidR="00000000" w:rsidRDefault="0011255F">
      <w:pPr>
        <w:jc w:val="both"/>
        <w:rPr>
          <w:sz w:val="22"/>
        </w:rPr>
      </w:pPr>
    </w:p>
    <w:p w14:paraId="3CD25927" w14:textId="77777777" w:rsidR="00000000" w:rsidRDefault="0011255F">
      <w:pPr>
        <w:jc w:val="both"/>
        <w:rPr>
          <w:sz w:val="22"/>
        </w:rPr>
      </w:pPr>
    </w:p>
    <w:p w14:paraId="6CB2FACB" w14:textId="77777777" w:rsidR="00000000" w:rsidRDefault="0011255F">
      <w:pPr>
        <w:ind w:left="720"/>
        <w:jc w:val="both"/>
        <w:rPr>
          <w:sz w:val="22"/>
        </w:rPr>
      </w:pPr>
      <w:r>
        <w:rPr>
          <w:sz w:val="22"/>
        </w:rPr>
        <w:t>Contracts, Records and Reports</w:t>
      </w:r>
    </w:p>
    <w:p w14:paraId="294C1E7B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  <w:t>Human Resource Services Building</w:t>
      </w:r>
    </w:p>
    <w:p w14:paraId="683A1B57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  <w:t>Northern Illinois University</w:t>
      </w:r>
    </w:p>
    <w:p w14:paraId="1837BD76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  <w:t>1515 West Lincoln Hwy.</w:t>
      </w:r>
    </w:p>
    <w:p w14:paraId="2D6C1E14" w14:textId="77777777" w:rsidR="00000000" w:rsidRDefault="0011255F">
      <w:pPr>
        <w:jc w:val="both"/>
        <w:rPr>
          <w:sz w:val="22"/>
        </w:rPr>
      </w:pPr>
      <w:r>
        <w:rPr>
          <w:sz w:val="22"/>
        </w:rPr>
        <w:tab/>
        <w:t>DeKal</w:t>
      </w:r>
      <w:r>
        <w:rPr>
          <w:sz w:val="22"/>
        </w:rPr>
        <w:t>b, IL  60115</w:t>
      </w:r>
    </w:p>
    <w:p w14:paraId="27CAA050" w14:textId="77777777" w:rsidR="0011255F" w:rsidRDefault="0011255F">
      <w:pPr>
        <w:rPr>
          <w:sz w:val="22"/>
        </w:rPr>
      </w:pPr>
    </w:p>
    <w:sectPr w:rsidR="0011255F">
      <w:pgSz w:w="12240" w:h="15840"/>
      <w:pgMar w:top="1008" w:right="1584" w:bottom="1008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FF3C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15"/>
    <w:rsid w:val="0011255F"/>
    <w:rsid w:val="00E8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646C16"/>
  <w15:chartTrackingRefBased/>
  <w15:docId w15:val="{D48BCAC2-DF46-45B6-9C44-DAE1DB7B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5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ind w:left="1440" w:hanging="1440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customStyle="1" w:styleId="Level1">
    <w:name w:val="Level 1"/>
    <w:basedOn w:val="Normal"/>
    <w:pPr>
      <w:widowControl w:val="0"/>
      <w:numPr>
        <w:numId w:val="2"/>
      </w:numPr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Northern Illinois University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Barbara J. Rice</dc:creator>
  <cp:keywords/>
  <dc:description/>
  <cp:lastModifiedBy>Ann Kenney</cp:lastModifiedBy>
  <cp:revision>2</cp:revision>
  <cp:lastPrinted>2002-04-05T18:53:00Z</cp:lastPrinted>
  <dcterms:created xsi:type="dcterms:W3CDTF">2021-11-24T18:16:00Z</dcterms:created>
  <dcterms:modified xsi:type="dcterms:W3CDTF">2021-11-24T18:16:00Z</dcterms:modified>
</cp:coreProperties>
</file>